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71434B">
      <w:pPr>
        <w:jc w:val="center"/>
        <w:rPr>
          <w:rFonts w:hint="eastAsia" w:ascii="方正小标宋简体" w:hAnsi="方正小标宋简体" w:eastAsia="方正小标宋简体" w:cs="方正小标宋简体"/>
          <w:color w:val="auto"/>
          <w:sz w:val="36"/>
          <w:szCs w:val="36"/>
          <w:lang w:val="en-US" w:eastAsia="zh-CN"/>
        </w:rPr>
      </w:pPr>
      <w:r>
        <w:rPr>
          <w:rFonts w:hint="eastAsia" w:ascii="方正小标宋简体" w:hAnsi="方正小标宋简体" w:eastAsia="方正小标宋简体" w:cs="方正小标宋简体"/>
          <w:color w:val="auto"/>
          <w:sz w:val="36"/>
          <w:szCs w:val="36"/>
          <w:lang w:val="en-US" w:eastAsia="zh-CN"/>
        </w:rPr>
        <w:t>目    录</w:t>
      </w:r>
    </w:p>
    <w:p w14:paraId="3B36FF76">
      <w:pPr>
        <w:jc w:val="center"/>
        <w:rPr>
          <w:rFonts w:hint="eastAsia" w:ascii="方正小标宋简体" w:hAnsi="方正小标宋简体" w:eastAsia="方正小标宋简体" w:cs="方正小标宋简体"/>
          <w:color w:val="auto"/>
          <w:sz w:val="36"/>
          <w:szCs w:val="36"/>
          <w:lang w:val="en-US" w:eastAsia="zh-CN"/>
        </w:rPr>
      </w:pPr>
    </w:p>
    <w:p w14:paraId="354E5F3F">
      <w:pPr>
        <w:rPr>
          <w:rFonts w:hint="default"/>
          <w:color w:val="auto"/>
          <w:lang w:val="en-US" w:eastAsia="zh-CN"/>
        </w:rPr>
      </w:pPr>
    </w:p>
    <w:p w14:paraId="10E15C1F">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1.政府信息依申请公开流程图及样表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w:t>
      </w:r>
    </w:p>
    <w:p w14:paraId="54C7EDD9">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2.职业培训学校办学许可办事流程图</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3</w:t>
      </w:r>
    </w:p>
    <w:p w14:paraId="35087790">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3.人力资源服务许可办事流程图</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4</w:t>
      </w:r>
    </w:p>
    <w:p w14:paraId="219147A3">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4.劳务派遣经营许可办事流程图及样表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5</w:t>
      </w:r>
    </w:p>
    <w:p w14:paraId="1E27CBA6">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5.外国人来华工作许可（C类）办事流程图</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7</w:t>
      </w:r>
    </w:p>
    <w:p w14:paraId="3229FBD1">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6.企业实行不定时工作制和综合计算工时工作制审批办事流程图及样表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8</w:t>
      </w:r>
    </w:p>
    <w:p w14:paraId="0DE6D344">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7.职称初定工作流程图及样表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11</w:t>
      </w:r>
    </w:p>
    <w:p w14:paraId="02D8F604">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8.职称确认工作流程图及样表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14</w:t>
      </w:r>
    </w:p>
    <w:p w14:paraId="3BBEFEA4">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9.职称评审工作流程图及样表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21</w:t>
      </w:r>
    </w:p>
    <w:p w14:paraId="2C996AA8">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10.专业技术人员资格考试违纪违规行为处理工作流程图</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29</w:t>
      </w:r>
    </w:p>
    <w:p w14:paraId="6C4BD048">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11.四川省农民工工资保证金平台办理流程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30</w:t>
      </w:r>
    </w:p>
    <w:p w14:paraId="0EA5C662">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12.劳动保障监察案件办理流程图</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31</w:t>
      </w:r>
    </w:p>
    <w:p w14:paraId="6A7B0CA7">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13.劳动用工备案服务流程图及样表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32</w:t>
      </w:r>
    </w:p>
    <w:p w14:paraId="732F4CA6">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14.集体合同审查服务流程图及样表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35</w:t>
      </w:r>
      <w:bookmarkStart w:id="0" w:name="_GoBack"/>
      <w:bookmarkEnd w:id="0"/>
    </w:p>
    <w:p w14:paraId="23BBFFBC">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15.企业经济性裁员报告服务流程图</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38</w:t>
      </w:r>
    </w:p>
    <w:p w14:paraId="04003089">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16.录用未成年人登记备案服务流程图及样表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39</w:t>
      </w:r>
    </w:p>
    <w:p w14:paraId="5A2439B8">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17.企业年金备案工作流程图及样表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42</w:t>
      </w:r>
    </w:p>
    <w:p w14:paraId="112D4D61">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18.工伤认定工作流程图</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73</w:t>
      </w:r>
    </w:p>
    <w:p w14:paraId="260B288A">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19.工伤康复申请流程图及样表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84</w:t>
      </w:r>
    </w:p>
    <w:p w14:paraId="3E1076CE">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20.停工留薪期延长确认流程图及样表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89</w:t>
      </w:r>
    </w:p>
    <w:p w14:paraId="5FC96FF4">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21.劳动能力鉴定申请流程（含复查鉴定、辅助器具配置、旧伤复发鉴定）及样表93</w:t>
      </w:r>
    </w:p>
    <w:p w14:paraId="5539798C">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22.职业技能等级认定申请备案工作流程图及样表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95</w:t>
      </w:r>
    </w:p>
    <w:p w14:paraId="018F8F42">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23.更正职业资格证书信息申请服务流程图及样表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101</w:t>
      </w:r>
    </w:p>
    <w:p w14:paraId="7FBC70C2">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24.就业见习补贴申领流程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104</w:t>
      </w:r>
    </w:p>
    <w:p w14:paraId="3162FB39">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25.就业见习申请流程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105</w:t>
      </w:r>
    </w:p>
    <w:p w14:paraId="7F61BB73">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26.就业见习岗位申报流程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106</w:t>
      </w:r>
    </w:p>
    <w:p w14:paraId="5F02EF5D">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27.一次性求职补贴（高校毕业生）申领流程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107</w:t>
      </w:r>
    </w:p>
    <w:p w14:paraId="51516D95">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28.创业专家咨询办事流程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108</w:t>
      </w:r>
    </w:p>
    <w:p w14:paraId="49138914">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29.大学生创新创业园区（孵化基地）申请流程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109</w:t>
      </w:r>
    </w:p>
    <w:p w14:paraId="6F80F384">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30.公共就业服务专项活动（招聘会）服务办事流程图</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110</w:t>
      </w:r>
    </w:p>
    <w:p w14:paraId="1776696B">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31.创业培训补贴申请流程及样表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111</w:t>
      </w:r>
    </w:p>
    <w:p w14:paraId="69EED2FE">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32.职业培训补贴申领流程及样表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114</w:t>
      </w:r>
    </w:p>
    <w:p w14:paraId="6B82AE58">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33.职业技能鉴定补贴申领流程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117</w:t>
      </w:r>
    </w:p>
    <w:p w14:paraId="79A17B27">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34.防止返贫监测对象生活费（含交通费）补贴申请流程及样表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118</w:t>
      </w:r>
    </w:p>
    <w:p w14:paraId="3FF2864B">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35.失业保险金申领流程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120</w:t>
      </w:r>
    </w:p>
    <w:p w14:paraId="78105D8E">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36.丧葬补助金和抚恤金申领流程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121</w:t>
      </w:r>
    </w:p>
    <w:p w14:paraId="58A29BE9">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37.领取失业保险金期间职业培训补贴申领流程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122</w:t>
      </w:r>
    </w:p>
    <w:p w14:paraId="3A6402FF">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38.领取失业保险金期间职业介绍补贴申领流程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123</w:t>
      </w:r>
    </w:p>
    <w:p w14:paraId="29645F06">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39.失业保险关系转移接续流程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124</w:t>
      </w:r>
    </w:p>
    <w:p w14:paraId="3DFA1608">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40.失业保险补贴发放账户维护（用人单位）流程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125</w:t>
      </w:r>
    </w:p>
    <w:p w14:paraId="5B5D6F20">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41.失业保险待遇发放账户维护（个人）流程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126</w:t>
      </w:r>
    </w:p>
    <w:p w14:paraId="659CDFE6">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42.失业保险一次性扩岗补助申领流程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127</w:t>
      </w:r>
    </w:p>
    <w:p w14:paraId="6CD39758">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43.失业保险稳岗返还申领流程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128</w:t>
      </w:r>
    </w:p>
    <w:p w14:paraId="192B8232">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44.失业保险技能提升补贴申领流程</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129</w:t>
      </w:r>
    </w:p>
    <w:p w14:paraId="706E79C3">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45.养老保险关系转移流程图</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130</w:t>
      </w:r>
    </w:p>
    <w:p w14:paraId="0EBEC35C">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eastAsia"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46.职工退休申请流程图及样表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131</w:t>
      </w:r>
    </w:p>
    <w:p w14:paraId="26AD1A45">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47.机关事业单位“退休一件事”流程图及样表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137</w:t>
      </w:r>
    </w:p>
    <w:p w14:paraId="69E297A8">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48.协议医疗机构申请流程图及样表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143</w:t>
      </w:r>
    </w:p>
    <w:p w14:paraId="5DD845ED">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49.工伤医疗（康复）费用申报流程图及样表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163</w:t>
      </w:r>
    </w:p>
    <w:p w14:paraId="2B65C35F">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50.一次性工伤医疗补助金申请流程图及样表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165</w:t>
      </w:r>
    </w:p>
    <w:p w14:paraId="45FBCF8B">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51.辅助器具配置（更换）费用申报流程图及样表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167</w:t>
      </w:r>
    </w:p>
    <w:p w14:paraId="093EC370">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52.一次性工亡补助金、丧葬补助金申领流程图及样表</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170</w:t>
      </w:r>
    </w:p>
    <w:p w14:paraId="71A76F90">
      <w:pPr>
        <w:keepNext w:val="0"/>
        <w:keepLines w:val="0"/>
        <w:pageBreakBefore w:val="0"/>
        <w:widowControl w:val="0"/>
        <w:tabs>
          <w:tab w:val="right" w:leader="middleDot" w:pos="8820"/>
        </w:tabs>
        <w:kinsoku/>
        <w:wordWrap/>
        <w:overflowPunct/>
        <w:topLinePunct w:val="0"/>
        <w:autoSpaceDE/>
        <w:autoSpaceDN/>
        <w:bidi w:val="0"/>
        <w:adjustRightInd/>
        <w:snapToGrid/>
        <w:spacing w:line="440" w:lineRule="exact"/>
        <w:textAlignment w:val="auto"/>
        <w:rPr>
          <w:rFonts w:hint="default" w:ascii="楷体_GB2312" w:hAnsi="楷体_GB2312" w:eastAsia="楷体_GB2312" w:cs="楷体_GB2312"/>
          <w:color w:val="auto"/>
          <w:sz w:val="24"/>
          <w:szCs w:val="24"/>
          <w:lang w:val="en-US" w:eastAsia="zh-CN"/>
        </w:rPr>
      </w:pPr>
      <w:r>
        <w:rPr>
          <w:rFonts w:hint="eastAsia" w:ascii="楷体_GB2312" w:hAnsi="楷体_GB2312" w:eastAsia="楷体_GB2312" w:cs="楷体_GB2312"/>
          <w:color w:val="auto"/>
          <w:sz w:val="24"/>
          <w:szCs w:val="24"/>
          <w:lang w:val="en-US" w:eastAsia="zh-CN"/>
        </w:rPr>
        <w:t>53.劳动人事争议调解仲裁流程图</w:t>
      </w:r>
      <w:r>
        <w:rPr>
          <w:rFonts w:hint="eastAsia" w:ascii="楷体_GB2312" w:hAnsi="楷体_GB2312" w:eastAsia="楷体_GB2312" w:cs="楷体_GB2312"/>
          <w:color w:val="auto"/>
          <w:sz w:val="24"/>
          <w:szCs w:val="24"/>
          <w:lang w:val="en-US" w:eastAsia="zh-CN"/>
        </w:rPr>
        <w:tab/>
      </w:r>
      <w:r>
        <w:rPr>
          <w:rFonts w:hint="eastAsia" w:ascii="楷体_GB2312" w:hAnsi="楷体_GB2312" w:eastAsia="楷体_GB2312" w:cs="楷体_GB2312"/>
          <w:color w:val="auto"/>
          <w:sz w:val="24"/>
          <w:szCs w:val="24"/>
          <w:lang w:val="en-US" w:eastAsia="zh-CN"/>
        </w:rPr>
        <w:t>175</w:t>
      </w:r>
    </w:p>
    <w:p w14:paraId="3C1B1861">
      <w:pPr>
        <w:rPr>
          <w:rFonts w:hint="default"/>
          <w:color w:val="auto"/>
          <w:lang w:val="en-US" w:eastAsia="zh-CN"/>
        </w:rPr>
      </w:pPr>
    </w:p>
    <w:sectPr>
      <w:pgSz w:w="11906" w:h="16838"/>
      <w:pgMar w:top="1701" w:right="1474" w:bottom="1474" w:left="14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8BE01AA"/>
    <w:rsid w:val="28BE01AA"/>
    <w:rsid w:val="30266922"/>
    <w:rsid w:val="6ED30F7C"/>
    <w:rsid w:val="74364C90"/>
    <w:rsid w:val="745E3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1015</Words>
  <Characters>1200</Characters>
  <Lines>0</Lines>
  <Paragraphs>0</Paragraphs>
  <TotalTime>11</TotalTime>
  <ScaleCrop>false</ScaleCrop>
  <LinksUpToDate>false</LinksUpToDate>
  <CharactersWithSpaces>1259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2025-07-25T08:02:00Z</dcterms:created>
  <dc:creator>WPS_1670324862</dc:creator>
  <cp:lastModifiedBy>WPS_1670324862</cp:lastModifiedBy>
  <dcterms:modified xsi:type="dcterms:W3CDTF">2025-07-27T06:40:47Z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B0BF6A87715646539262A29C35EE0D1B_11</vt:lpwstr>
  </property>
  <property fmtid="{D5CDD505-2E9C-101B-9397-08002B2CF9AE}" pid="4" name="KSOTemplateDocerSaveRecord">
    <vt:lpwstr>eyJoZGlkIjoiODBhNzk2MDFjZGUxYWQ4YWRhMzcyM2MwZWU2ODdkNDciLCJ1c2VySWQiOiIxNDU2NjY2Njk0In0=</vt:lpwstr>
  </property>
</Properties>
</file>